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Calibri" w:hAnsi="Calibri" w:cs="Calibri"/>
        </w:rPr>
      </w:pPr>
      <w:r>
        <w:rPr>
          <w:rFonts w:ascii="Calibri" w:hAnsi="Calibri" w:cs="Calibri"/>
        </w:rPr>
        <w:tab/>
      </w:r>
      <w:r>
        <w:rPr>
          <w:rFonts w:ascii="Calibri" w:hAnsi="Calibri" w:cs="Calibri"/>
        </w:rPr>
        <w:tab/>
      </w:r>
    </w:p>
    <w:p>
      <w:pPr>
        <w:pStyle w:val="8"/>
        <w:rPr>
          <w:rFonts w:hint="default" w:ascii="Arial" w:hAnsi="Arial" w:eastAsia="Times New Roman" w:cs="Arial"/>
          <w:b/>
          <w:bCs/>
          <w:color w:val="000000"/>
          <w:sz w:val="22"/>
          <w:szCs w:val="22"/>
          <w:lang w:eastAsia="en-G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pPr>
        <w:spacing w:after="0"/>
        <w:jc w:val="center"/>
        <w:rPr>
          <w:rFonts w:hint="default" w:ascii="Arial" w:hAnsi="Arial" w:eastAsia="Times New Roman" w:cs="Arial"/>
          <w:b/>
          <w:bCs/>
          <w:color w:val="000000"/>
          <w:sz w:val="22"/>
          <w:szCs w:val="22"/>
          <w:lang w:eastAsia="en-GB"/>
        </w:rPr>
      </w:pPr>
      <w:r>
        <w:rPr>
          <w:rFonts w:hint="default" w:ascii="Arial" w:hAnsi="Arial" w:eastAsia="Times New Roman" w:cs="Arial"/>
          <w:b/>
          <w:bCs/>
          <w:color w:val="000000"/>
          <w:sz w:val="22"/>
          <w:szCs w:val="22"/>
          <w:lang w:eastAsia="en-GB"/>
        </w:rPr>
        <w:t>MATERIAL INFORMATIV PRIVIND M</w:t>
      </w:r>
      <w:r>
        <w:rPr>
          <w:rFonts w:hint="default" w:ascii="Arial" w:hAnsi="Arial" w:cs="Arial"/>
          <w:b/>
          <w:bCs/>
          <w:color w:val="000000"/>
          <w:sz w:val="22"/>
          <w:szCs w:val="22"/>
          <w:lang w:val="ro-RO" w:eastAsia="en-GB"/>
        </w:rPr>
        <w:t>Ă</w:t>
      </w:r>
      <w:r>
        <w:rPr>
          <w:rFonts w:hint="default" w:ascii="Arial" w:hAnsi="Arial" w:eastAsia="Times New Roman" w:cs="Arial"/>
          <w:b/>
          <w:bCs/>
          <w:color w:val="000000"/>
          <w:sz w:val="22"/>
          <w:szCs w:val="22"/>
          <w:lang w:eastAsia="en-GB"/>
        </w:rPr>
        <w:t>SURI DE PREVENIRE A INFEC</w:t>
      </w:r>
      <w:r>
        <w:rPr>
          <w:rFonts w:hint="default" w:ascii="Arial" w:hAnsi="Arial" w:cs="Arial"/>
          <w:b/>
          <w:bCs/>
          <w:color w:val="000000"/>
          <w:sz w:val="22"/>
          <w:szCs w:val="22"/>
          <w:lang w:val="ro-RO" w:eastAsia="en-GB"/>
        </w:rPr>
        <w:t>Ț</w:t>
      </w:r>
      <w:r>
        <w:rPr>
          <w:rFonts w:hint="default" w:ascii="Arial" w:hAnsi="Arial" w:eastAsia="Times New Roman" w:cs="Arial"/>
          <w:b/>
          <w:bCs/>
          <w:color w:val="000000"/>
          <w:sz w:val="22"/>
          <w:szCs w:val="22"/>
          <w:lang w:eastAsia="en-GB"/>
        </w:rPr>
        <w:t>IEI CU CORONAVIRUS (SARS-COV2) – COVID 19</w:t>
      </w:r>
    </w:p>
    <w:p>
      <w:pPr>
        <w:spacing w:after="0"/>
        <w:jc w:val="both"/>
        <w:rPr>
          <w:rFonts w:hint="default" w:ascii="Arial" w:hAnsi="Arial" w:eastAsia="Times New Roman" w:cs="Arial"/>
          <w:color w:val="000000"/>
          <w:sz w:val="22"/>
          <w:szCs w:val="22"/>
          <w:lang w:eastAsia="en-GB"/>
        </w:rPr>
      </w:pPr>
    </w:p>
    <w:p>
      <w:pPr>
        <w:spacing w:after="0"/>
        <w:ind w:firstLine="708"/>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 xml:space="preserve">Noul coronavirus SARS-CoV-2 este cel care cauzeaza boala COVID-19, producând infecții respiratorii cu grade de severitate diferite, însă putând duce pâna la deces. </w:t>
      </w:r>
      <w:r>
        <w:rPr>
          <w:rFonts w:hint="default" w:ascii="Arial" w:hAnsi="Arial" w:eastAsia="Times New Roman" w:cs="Arial"/>
          <w:color w:val="000000"/>
          <w:sz w:val="22"/>
          <w:szCs w:val="22"/>
          <w:lang w:eastAsia="en-GB"/>
        </w:rPr>
        <w:tab/>
      </w:r>
    </w:p>
    <w:p>
      <w:pPr>
        <w:spacing w:after="0"/>
        <w:ind w:firstLine="708"/>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Virusul se transmite pe cale respiratorie (prin picăturile de secreții produse de o persoan</w:t>
      </w:r>
      <w:r>
        <w:rPr>
          <w:rFonts w:hint="default" w:ascii="Arial" w:hAnsi="Arial" w:eastAsia="Times New Roman" w:cs="Arial"/>
          <w:color w:val="000000"/>
          <w:sz w:val="22"/>
          <w:szCs w:val="22"/>
          <w:lang w:val="ro-RO" w:eastAsia="en-GB"/>
        </w:rPr>
        <w:t>ă</w:t>
      </w:r>
      <w:r>
        <w:rPr>
          <w:rFonts w:hint="default" w:ascii="Arial" w:hAnsi="Arial" w:eastAsia="Times New Roman" w:cs="Arial"/>
          <w:color w:val="000000"/>
          <w:sz w:val="22"/>
          <w:szCs w:val="22"/>
          <w:lang w:eastAsia="en-GB"/>
        </w:rPr>
        <w:t xml:space="preserve"> infectată cand tușește sau strănută), prin contactul apropiat cu o persoană infectată (atingere, îmbrațișare, strângere de mâini) sau prin atingerea unor suprafețe contaminate, după care mâinile sunt duse la față, nas, fără a fi igienizate. Perioada de incubație este până la 14 zile, media fiind 5 zile, de la infecție până la debutul simptomelor.</w:t>
      </w:r>
    </w:p>
    <w:p>
      <w:pPr>
        <w:spacing w:after="0"/>
        <w:ind w:firstLine="708"/>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Simptomele cele mai frecvente sunt: febra, tusea uscată, oboseala, dureri musculare, dureri de gât, pierderea bruscă a gustului și mirosului, diareea, eruptiile cutanate și înroșirea degetelor de la mâini și picioare (aspect de degete degerate). Există grupe de risc mai mare de a dezvolta complicații grave ale infec</w:t>
      </w:r>
      <w:r>
        <w:rPr>
          <w:rFonts w:hint="default" w:ascii="Arial" w:hAnsi="Arial" w:eastAsia="Times New Roman" w:cs="Arial"/>
          <w:color w:val="000000"/>
          <w:sz w:val="22"/>
          <w:szCs w:val="22"/>
          <w:lang w:val="ro-RO" w:eastAsia="en-GB"/>
        </w:rPr>
        <w:t>ț</w:t>
      </w:r>
      <w:r>
        <w:rPr>
          <w:rFonts w:hint="default" w:ascii="Arial" w:hAnsi="Arial" w:eastAsia="Times New Roman" w:cs="Arial"/>
          <w:color w:val="000000"/>
          <w:sz w:val="22"/>
          <w:szCs w:val="22"/>
          <w:lang w:eastAsia="en-GB"/>
        </w:rPr>
        <w:t xml:space="preserve">iei cu coronavirus: </w:t>
      </w:r>
      <w:r>
        <w:rPr>
          <w:rFonts w:hint="default" w:ascii="Arial" w:hAnsi="Arial" w:cs="Arial"/>
          <w:color w:val="2E333C"/>
          <w:sz w:val="22"/>
          <w:szCs w:val="22"/>
          <w:shd w:val="clear" w:color="auto" w:fill="FFFFFF"/>
        </w:rPr>
        <w:t xml:space="preserve">persoanele </w:t>
      </w:r>
      <w:r>
        <w:rPr>
          <w:rFonts w:hint="default" w:ascii="Arial" w:hAnsi="Arial" w:cs="Arial"/>
          <w:color w:val="2E333C"/>
          <w:sz w:val="22"/>
          <w:szCs w:val="22"/>
          <w:shd w:val="clear" w:color="auto" w:fill="FFFFFF"/>
          <w:lang w:val="ro-RO"/>
        </w:rPr>
        <w:t>î</w:t>
      </w:r>
      <w:r>
        <w:rPr>
          <w:rFonts w:hint="default" w:ascii="Arial" w:hAnsi="Arial" w:cs="Arial"/>
          <w:color w:val="2E333C"/>
          <w:sz w:val="22"/>
          <w:szCs w:val="22"/>
          <w:shd w:val="clear" w:color="auto" w:fill="FFFFFF"/>
        </w:rPr>
        <w:t>n v</w:t>
      </w:r>
      <w:r>
        <w:rPr>
          <w:rFonts w:hint="default" w:ascii="Arial" w:hAnsi="Arial" w:cs="Arial"/>
          <w:color w:val="2E333C"/>
          <w:sz w:val="22"/>
          <w:szCs w:val="22"/>
          <w:shd w:val="clear" w:color="auto" w:fill="FFFFFF"/>
          <w:lang w:val="ro-RO"/>
        </w:rPr>
        <w:t>â</w:t>
      </w:r>
      <w:r>
        <w:rPr>
          <w:rFonts w:hint="default" w:ascii="Arial" w:hAnsi="Arial" w:cs="Arial"/>
          <w:color w:val="2E333C"/>
          <w:sz w:val="22"/>
          <w:szCs w:val="22"/>
          <w:shd w:val="clear" w:color="auto" w:fill="FFFFFF"/>
        </w:rPr>
        <w:t>rst</w:t>
      </w:r>
      <w:r>
        <w:rPr>
          <w:rFonts w:hint="default" w:ascii="Arial" w:hAnsi="Arial" w:cs="Arial"/>
          <w:color w:val="2E333C"/>
          <w:sz w:val="22"/>
          <w:szCs w:val="22"/>
          <w:shd w:val="clear" w:color="auto" w:fill="FFFFFF"/>
          <w:lang w:val="ro-RO"/>
        </w:rPr>
        <w:t>ă</w:t>
      </w:r>
      <w:r>
        <w:rPr>
          <w:rFonts w:hint="default" w:ascii="Arial" w:hAnsi="Arial" w:cs="Arial"/>
          <w:color w:val="2E333C"/>
          <w:sz w:val="22"/>
          <w:szCs w:val="22"/>
          <w:shd w:val="clear" w:color="auto" w:fill="FFFFFF"/>
        </w:rPr>
        <w:t xml:space="preserve"> </w:t>
      </w:r>
      <w:r>
        <w:rPr>
          <w:rFonts w:hint="default" w:ascii="Arial" w:hAnsi="Arial" w:cs="Arial"/>
          <w:color w:val="2E333C"/>
          <w:sz w:val="22"/>
          <w:szCs w:val="22"/>
          <w:shd w:val="clear" w:color="auto" w:fill="FFFFFF"/>
          <w:lang w:val="ro-RO"/>
        </w:rPr>
        <w:t>ș</w:t>
      </w:r>
      <w:r>
        <w:rPr>
          <w:rFonts w:hint="default" w:ascii="Arial" w:hAnsi="Arial" w:cs="Arial"/>
          <w:color w:val="2E333C"/>
          <w:sz w:val="22"/>
          <w:szCs w:val="22"/>
          <w:shd w:val="clear" w:color="auto" w:fill="FFFFFF"/>
        </w:rPr>
        <w:t>i cu afec</w:t>
      </w:r>
      <w:r>
        <w:rPr>
          <w:rFonts w:hint="default" w:ascii="Arial" w:hAnsi="Arial" w:cs="Arial"/>
          <w:color w:val="2E333C"/>
          <w:sz w:val="22"/>
          <w:szCs w:val="22"/>
          <w:shd w:val="clear" w:color="auto" w:fill="FFFFFF"/>
          <w:lang w:val="ro-RO"/>
        </w:rPr>
        <w:t>ț</w:t>
      </w:r>
      <w:r>
        <w:rPr>
          <w:rFonts w:hint="default" w:ascii="Arial" w:hAnsi="Arial" w:cs="Arial"/>
          <w:color w:val="2E333C"/>
          <w:sz w:val="22"/>
          <w:szCs w:val="22"/>
          <w:shd w:val="clear" w:color="auto" w:fill="FFFFFF"/>
        </w:rPr>
        <w:t>iuni cronice (boli cardiovasculare, diabet zaharat, boli pulmonare, afecțiuni ale sistemului imunitar, pacien</w:t>
      </w:r>
      <w:r>
        <w:rPr>
          <w:rFonts w:hint="default" w:ascii="Arial" w:hAnsi="Arial" w:cs="Arial"/>
          <w:color w:val="2E333C"/>
          <w:sz w:val="22"/>
          <w:szCs w:val="22"/>
          <w:shd w:val="clear" w:color="auto" w:fill="FFFFFF"/>
          <w:lang w:val="ro-RO"/>
        </w:rPr>
        <w:t>ț</w:t>
      </w:r>
      <w:r>
        <w:rPr>
          <w:rFonts w:hint="default" w:ascii="Arial" w:hAnsi="Arial" w:cs="Arial"/>
          <w:color w:val="2E333C"/>
          <w:sz w:val="22"/>
          <w:szCs w:val="22"/>
          <w:shd w:val="clear" w:color="auto" w:fill="FFFFFF"/>
        </w:rPr>
        <w:t>i care urmeaz</w:t>
      </w:r>
      <w:r>
        <w:rPr>
          <w:rFonts w:hint="default" w:ascii="Arial" w:hAnsi="Arial" w:cs="Arial"/>
          <w:color w:val="2E333C"/>
          <w:sz w:val="22"/>
          <w:szCs w:val="22"/>
          <w:shd w:val="clear" w:color="auto" w:fill="FFFFFF"/>
          <w:lang w:val="ro-RO"/>
        </w:rPr>
        <w:t>ă</w:t>
      </w:r>
      <w:r>
        <w:rPr>
          <w:rFonts w:hint="default" w:ascii="Arial" w:hAnsi="Arial" w:cs="Arial"/>
          <w:color w:val="2E333C"/>
          <w:sz w:val="22"/>
          <w:szCs w:val="22"/>
          <w:shd w:val="clear" w:color="auto" w:fill="FFFFFF"/>
        </w:rPr>
        <w:t xml:space="preserve"> tratament imunosupresor, pacienți oncologici). </w:t>
      </w:r>
    </w:p>
    <w:p>
      <w:pPr>
        <w:spacing w:after="0"/>
        <w:jc w:val="both"/>
        <w:rPr>
          <w:rFonts w:hint="default" w:ascii="Arial" w:hAnsi="Arial" w:eastAsia="Times New Roman" w:cs="Arial"/>
          <w:color w:val="000000"/>
          <w:sz w:val="22"/>
          <w:szCs w:val="22"/>
          <w:lang w:eastAsia="en-GB"/>
        </w:rPr>
      </w:pPr>
    </w:p>
    <w:p>
      <w:pPr>
        <w:spacing w:after="0"/>
        <w:jc w:val="center"/>
        <w:rPr>
          <w:rFonts w:hint="default" w:ascii="Arial" w:hAnsi="Arial" w:eastAsia="Times New Roman" w:cs="Arial"/>
          <w:b/>
          <w:bCs/>
          <w:color w:val="000000"/>
          <w:sz w:val="22"/>
          <w:szCs w:val="22"/>
          <w:lang w:eastAsia="en-GB"/>
        </w:rPr>
      </w:pPr>
      <w:r>
        <w:rPr>
          <w:rFonts w:hint="default" w:ascii="Arial" w:hAnsi="Arial" w:eastAsia="Times New Roman" w:cs="Arial"/>
          <w:b/>
          <w:bCs/>
          <w:color w:val="000000"/>
          <w:sz w:val="22"/>
          <w:szCs w:val="22"/>
          <w:lang w:eastAsia="en-GB"/>
        </w:rPr>
        <w:t xml:space="preserve">Recomandări privind conduita socială responsabilă în prevenirea răspândirii coronavirus </w:t>
      </w:r>
    </w:p>
    <w:p>
      <w:pPr>
        <w:spacing w:after="0"/>
        <w:jc w:val="center"/>
        <w:rPr>
          <w:rFonts w:hint="default" w:ascii="Arial" w:hAnsi="Arial" w:eastAsia="Times New Roman" w:cs="Arial"/>
          <w:b/>
          <w:bCs/>
          <w:color w:val="000000"/>
          <w:sz w:val="22"/>
          <w:szCs w:val="22"/>
          <w:lang w:eastAsia="en-GB"/>
        </w:rPr>
      </w:pPr>
      <w:r>
        <w:rPr>
          <w:rFonts w:hint="default" w:ascii="Arial" w:hAnsi="Arial" w:eastAsia="Times New Roman" w:cs="Arial"/>
          <w:b/>
          <w:bCs/>
          <w:color w:val="000000"/>
          <w:sz w:val="22"/>
          <w:szCs w:val="22"/>
          <w:lang w:eastAsia="en-GB"/>
        </w:rPr>
        <w:t>(COVID-19)</w:t>
      </w:r>
    </w:p>
    <w:p>
      <w:pPr>
        <w:spacing w:after="0"/>
        <w:jc w:val="center"/>
        <w:rPr>
          <w:rFonts w:hint="default" w:ascii="Arial" w:hAnsi="Arial" w:eastAsia="Times New Roman" w:cs="Arial"/>
          <w:b/>
          <w:bCs/>
          <w:color w:val="000000"/>
          <w:sz w:val="22"/>
          <w:szCs w:val="22"/>
          <w:lang w:eastAsia="en-GB"/>
        </w:rPr>
      </w:pP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 xml:space="preserve">Evitați zonele aglomerate unde sunteți expuși la contact direct și/sau interacțiune cu un număr mare de persoane, de tipul adunărilor publice, cozi, zone de trafic intens, zone de recreere. </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Limitați la maximum orice contact direct cu alte persoane, în afara celor care fac parte din familia restrânsă, prin gesturi cum ar fi: strângerea mâinilor, îmbrățișările, sărutul obrajilor sau al mâinilor, atingerea fețelor cu mâinile. Se recomandă, inclusiv în privința persoanelor împreună cu care locuiți, să NU intrați în contact direct decât după igienizarea mâinilor atunci când reveniți la domiciliu.</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Evitați atingerea suprafețelor care sunt atinse în mod frecvent și de alte persoane, precum: balustrade, clanțe, mânere, butoane de lift sau de acces. În cazul în care sunteți totuși nevoiți să atingeți aceste suprafețe, protejați-vă folosind șervețele de unică folosință.</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Păstrați o distanță semnificativă, de minim 1,5 metri, față de celelalte persoane pe care le întâlniți. În cazul în care vă aflați în transportul în comun încercați să NU stați față în față cu alte persoane. Asigurați-vă, după folosirea transportului în comun, că v-ați igienizat mâinile înainte de a vă atinge fața, nasul sau gura. Folosiți, pe cât posibil, rute sau modalități alternative de transport pentru a evita zonele aglomerate de trafic de persoane. În cazul în care programul vă permite, folosiți intervalele orare cu nivel scăzut de trafic de persoane. Pentru distanțe mici se recomandă folosirea modalităților alternative de deplasare, fie cu bicicleta/trotineta electrică, fie mersul pe jos.</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 xml:space="preserve">Evitați deplasările în țările care se confruntă cu număr mare de cazuri de infectări cu noul coronavirus (COVID-19) și descurajați întoarcerea în țară a persoanelor din zonele de risc, respectiv din țările cu număr mare de cazuri cu noul coronavirus. Date actualizate în timp real despre țările vizate pot fi </w:t>
      </w:r>
    </w:p>
    <w:p>
      <w:pPr>
        <w:spacing w:after="0"/>
        <w:jc w:val="both"/>
        <w:rPr>
          <w:rFonts w:hint="default" w:ascii="Arial" w:hAnsi="Arial" w:eastAsia="Times New Roman" w:cs="Arial"/>
          <w:color w:val="000000"/>
          <w:sz w:val="22"/>
          <w:szCs w:val="22"/>
          <w:lang w:eastAsia="en-GB"/>
        </w:rPr>
      </w:pPr>
    </w:p>
    <w:p>
      <w:pPr>
        <w:spacing w:after="0"/>
        <w:jc w:val="both"/>
        <w:rPr>
          <w:rFonts w:hint="default" w:ascii="Arial" w:hAnsi="Arial" w:eastAsia="Times New Roman" w:cs="Arial"/>
          <w:color w:val="000000"/>
          <w:sz w:val="22"/>
          <w:szCs w:val="22"/>
          <w:lang w:eastAsia="en-GB"/>
        </w:rPr>
      </w:pPr>
    </w:p>
    <w:p>
      <w:pPr>
        <w:spacing w:after="0"/>
        <w:jc w:val="both"/>
        <w:rPr>
          <w:rFonts w:hint="default" w:ascii="Arial" w:hAnsi="Arial" w:eastAsia="Times New Roman" w:cs="Arial"/>
          <w:color w:val="000000"/>
          <w:sz w:val="22"/>
          <w:szCs w:val="22"/>
          <w:lang w:eastAsia="en-GB"/>
        </w:rPr>
      </w:pPr>
    </w:p>
    <w:p>
      <w:pPr>
        <w:spacing w:after="0"/>
        <w:jc w:val="both"/>
        <w:rPr>
          <w:rFonts w:hint="default" w:ascii="Arial" w:hAnsi="Arial" w:eastAsia="Times New Roman" w:cs="Arial"/>
          <w:color w:val="000000"/>
          <w:sz w:val="22"/>
          <w:szCs w:val="22"/>
          <w:lang w:eastAsia="en-GB"/>
        </w:rPr>
      </w:pPr>
      <w:bookmarkStart w:id="0" w:name="_GoBack"/>
      <w:bookmarkEnd w:id="0"/>
      <w:r>
        <w:rPr>
          <w:rFonts w:hint="default" w:ascii="Arial" w:hAnsi="Arial" w:eastAsia="Times New Roman" w:cs="Arial"/>
          <w:color w:val="000000"/>
          <w:sz w:val="22"/>
          <w:szCs w:val="22"/>
          <w:lang w:eastAsia="en-GB"/>
        </w:rPr>
        <w:t>obținute accesând link-ul (</w:t>
      </w:r>
      <w:r>
        <w:rPr>
          <w:rFonts w:hint="default" w:ascii="Arial" w:hAnsi="Arial" w:cs="Arial"/>
          <w:color w:val="000000"/>
          <w:sz w:val="22"/>
          <w:szCs w:val="22"/>
          <w:lang w:val="ro-RO" w:eastAsia="en-GB"/>
        </w:rPr>
        <w:t xml:space="preserve"> </w:t>
      </w:r>
      <w:r>
        <w:rPr>
          <w:rFonts w:hint="default" w:ascii="Arial" w:hAnsi="Arial" w:eastAsia="Times New Roman"/>
          <w:color w:val="000000"/>
          <w:sz w:val="22"/>
          <w:szCs w:val="22"/>
          <w:lang w:eastAsia="en-GB"/>
        </w:rPr>
        <w:fldChar w:fldCharType="begin"/>
      </w:r>
      <w:r>
        <w:rPr>
          <w:rFonts w:hint="default" w:ascii="Arial" w:hAnsi="Arial" w:eastAsia="Times New Roman"/>
          <w:color w:val="000000"/>
          <w:sz w:val="22"/>
          <w:szCs w:val="22"/>
          <w:lang w:eastAsia="en-GB"/>
        </w:rPr>
        <w:instrText xml:space="preserve"> HYPERLINK "http://www.cnscbt.ro/" </w:instrText>
      </w:r>
      <w:r>
        <w:rPr>
          <w:rFonts w:hint="default" w:ascii="Arial" w:hAnsi="Arial" w:eastAsia="Times New Roman"/>
          <w:color w:val="000000"/>
          <w:sz w:val="22"/>
          <w:szCs w:val="22"/>
          <w:lang w:eastAsia="en-GB"/>
        </w:rPr>
        <w:fldChar w:fldCharType="separate"/>
      </w:r>
      <w:r>
        <w:rPr>
          <w:rStyle w:val="5"/>
          <w:rFonts w:hint="default" w:ascii="Arial" w:hAnsi="Arial" w:eastAsia="Times New Roman"/>
          <w:color w:val="000000"/>
          <w:sz w:val="22"/>
          <w:szCs w:val="22"/>
          <w:lang w:eastAsia="en-GB"/>
        </w:rPr>
        <w:t>http://www.cnscbt.ro</w:t>
      </w:r>
      <w:r>
        <w:rPr>
          <w:rFonts w:hint="default" w:ascii="Arial" w:hAnsi="Arial" w:eastAsia="Times New Roman"/>
          <w:color w:val="000000"/>
          <w:sz w:val="22"/>
          <w:szCs w:val="22"/>
          <w:lang w:eastAsia="en-GB"/>
        </w:rPr>
        <w:fldChar w:fldCharType="end"/>
      </w:r>
      <w:r>
        <w:rPr>
          <w:rFonts w:hint="default" w:ascii="Arial" w:hAnsi="Arial"/>
          <w:color w:val="000000"/>
          <w:sz w:val="22"/>
          <w:szCs w:val="22"/>
          <w:lang w:val="ro-RO" w:eastAsia="en-GB"/>
        </w:rPr>
        <w:t xml:space="preserve"> </w:t>
      </w:r>
      <w:r>
        <w:rPr>
          <w:rFonts w:hint="default" w:ascii="Arial" w:hAnsi="Arial" w:eastAsia="Times New Roman" w:cs="Arial"/>
          <w:color w:val="000000"/>
          <w:sz w:val="22"/>
          <w:szCs w:val="22"/>
          <w:lang w:eastAsia="en-GB"/>
        </w:rPr>
        <w:t>), respectiv „Lista regiunilor și localităților din zona roșie și zona galbenă cu transmitere a COVID-19”. În cazul în care călătoriți într-o țară expusă infecției cu noul coronavirus există riscul ca la momentul revenirii în țară, în funcție de actualizarea zonelor roșii/galbene, să fie necesar să rămâneți în carantină/izolare la domiciliu timp de 14 zile, împreună cu familia. În mod obligatoriu, românii care se întorc în țară din zone de risc vor trebui să intre în autoizolare la domiciliu.</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Limitați folosirea bancnotelor și a monedelor, optând pentru plăți cu cardul/telefonul sau plăți on-line.</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Optați pentru munca de acasă, în măsura în care aveți această posibilitate oferită de angajator.</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Respectați cu strictețe regulile de igienă personală recomandate de autorități, pentru a vă proteja atât pe dumneavoastră cât și pe cei apropiați. Folosiți masca de protecție in spatii inchise sau aglomerate indiferent daca aveți sau nu simptome de gripă sau răceală, pentru a-i proteja pe ceilalți. Masca de protecție trebuie să acopere complet nasul și gura persoanei care o poartă, dacă este de unică folosință trebuie schimbata la 3-4 ore, dacă este din bumbac, schimbată în momentul în care se umezește, apoi spalată și călcată înainte de o nouă utilizare.</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Spălați-vă pe mâini cu apă și săpun, minimum 20 de secunde, după orice contact cu o suprafață potențial contaminată, dupa ce intrați în casă sau ori de cate ori considerați necesar. Folosiți prosoape de hârtie, de preferat, pentru a vă șterge mâinile, pe care la aruncați imediat după la coșul de gunoi. În cazul în care situația nu permite spălatul pe mâni, puteți dezinfecta mâinile cu o soluție pentru mâni pe bază de alcool penru 15-20 secunde.</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Nu vă atingeți ochii, nasul sau gura cu mâinile neigienizate.</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Dacă strănutați sau tușiți acoperiți-vă gura și nasul cu un șervețel de unică folosință, pe care aveți grijă să-l aruncați imediat la coșul de gunoi sau folosiți plica cotului.</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Dezinfectați frecvent, cu soluție pe bază de alcool sau clor, suprafețele cu care intrați în contact, atât acasă cât și la locul de muncă.</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Aerisiți de mai multe ori pe zi încăperile în care desfășurați activități.</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Luați medicamente antivirale sau antibiotice numai la prescripția medicului.</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NU beți lichide din aceeași sticlă/pahar cu alte persoane și nu folosiți aceleași tacâmuri.</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NU intrați în contact direct cu persoanele aflate în autoizolare la domiciliu, indiferent dacă prezintă sau nu simptome specifice coronavirus.</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Țineți cont de faptul că nu în toate cazurile infectarea cu noul coronavirus(COVID-19) este vizibilă prin simptome specifice (tuse, febră, dificultăți în respirație). Virusul poate fi răspândit inclusiv de persoane aparent sănătoase, care nu au cunoștință de faptul că sunt purtători ai noului coronavirus.</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Evitați, cu prioritate, expunerea persoanelor în vârstă (peste 65 de ani) și a celor cu imunitate scăzută/boli asociate către alte persoane cu simptome de gripă sau răceală, în zone aglomerate sau zone cu trafic intens de persoane. Persoanele cele mai vulnerabile în cazul infectării cu noul coronavirus sunt vârstinicii cu multiple afecțiuni asociate (ex: diabet zaharat, boli pulmonare cronice, boli cardiovasculare, cancer).</w:t>
      </w:r>
    </w:p>
    <w:p>
      <w:pPr>
        <w:spacing w:after="0"/>
        <w:ind w:firstLine="72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 xml:space="preserve">Rămâneți acasă dacă aveți simptome de gripă sau răceală (tuse, febră, dificultăți în respirație) și sunați medicul de familie pentru a solicita sfaturi, NU mergeți din primul moment la unitățile de urgență. Există riscul, în cazul în care sunteți purtător al virusului, să transmiteți și altor persoane noul coronavirus. Este de preferat să rămâneți la domiciliu, iar transferul către spital să se realizeze în mod organizat, </w:t>
      </w:r>
    </w:p>
    <w:p>
      <w:pPr>
        <w:spacing w:after="0"/>
        <w:jc w:val="both"/>
        <w:rPr>
          <w:rFonts w:hint="default" w:ascii="Arial" w:hAnsi="Arial" w:eastAsia="Times New Roman" w:cs="Arial"/>
          <w:color w:val="000000"/>
          <w:sz w:val="22"/>
          <w:szCs w:val="22"/>
          <w:lang w:eastAsia="en-GB"/>
        </w:rPr>
      </w:pPr>
    </w:p>
    <w:p>
      <w:pPr>
        <w:spacing w:after="0"/>
        <w:jc w:val="both"/>
        <w:rPr>
          <w:rFonts w:hint="default" w:ascii="Arial" w:hAnsi="Arial" w:eastAsia="Times New Roman" w:cs="Arial"/>
          <w:color w:val="000000"/>
          <w:sz w:val="22"/>
          <w:szCs w:val="22"/>
          <w:lang w:eastAsia="en-GB"/>
        </w:rPr>
      </w:pPr>
      <w:r>
        <w:rPr>
          <w:rFonts w:hint="default" w:ascii="Arial" w:hAnsi="Arial" w:eastAsia="Times New Roman" w:cs="Arial"/>
          <w:color w:val="000000"/>
          <w:sz w:val="22"/>
          <w:szCs w:val="22"/>
          <w:lang w:eastAsia="en-GB"/>
        </w:rPr>
        <w:t xml:space="preserve">respectând toate măsurile de izolare. Dacă vă aflați în autoizolare la domiciliu respectați cu strictețe recomandările autorităților, NU părăsiți sub nicio formă domiciliul pe perioada celor 14 zile, NU primiți vizitatori și NU intrați în contact apropiat cu eventualele persoane care vă furnizează alimente sau produse. </w:t>
      </w:r>
    </w:p>
    <w:p>
      <w:pPr>
        <w:spacing w:after="0"/>
        <w:jc w:val="both"/>
        <w:rPr>
          <w:rFonts w:hint="default" w:ascii="Arial" w:hAnsi="Arial" w:cs="Arial"/>
          <w:i/>
          <w:iCs/>
          <w:sz w:val="22"/>
          <w:szCs w:val="22"/>
          <w:u w:val="single"/>
        </w:rPr>
      </w:pPr>
      <w:r>
        <w:rPr>
          <w:rFonts w:hint="default" w:ascii="Arial" w:hAnsi="Arial" w:cs="Arial"/>
          <w:i/>
          <w:iCs/>
          <w:sz w:val="22"/>
          <w:szCs w:val="22"/>
          <w:u w:val="single"/>
        </w:rPr>
        <w:t>Sursa: Ministerul S</w:t>
      </w:r>
      <w:r>
        <w:rPr>
          <w:rFonts w:hint="default" w:ascii="Arial" w:hAnsi="Arial" w:cs="Arial"/>
          <w:i/>
          <w:iCs/>
          <w:sz w:val="22"/>
          <w:szCs w:val="22"/>
          <w:u w:val="single"/>
          <w:lang w:val="ro-RO"/>
        </w:rPr>
        <w:t>ă</w:t>
      </w:r>
      <w:r>
        <w:rPr>
          <w:rFonts w:hint="default" w:ascii="Arial" w:hAnsi="Arial" w:cs="Arial"/>
          <w:i/>
          <w:iCs/>
          <w:sz w:val="22"/>
          <w:szCs w:val="22"/>
          <w:u w:val="single"/>
        </w:rPr>
        <w:t>n</w:t>
      </w:r>
      <w:r>
        <w:rPr>
          <w:rFonts w:hint="default" w:ascii="Arial" w:hAnsi="Arial" w:cs="Arial"/>
          <w:i/>
          <w:iCs/>
          <w:sz w:val="22"/>
          <w:szCs w:val="22"/>
          <w:u w:val="single"/>
          <w:lang w:val="ro-RO"/>
        </w:rPr>
        <w:t>ă</w:t>
      </w:r>
      <w:r>
        <w:rPr>
          <w:rFonts w:hint="default" w:ascii="Arial" w:hAnsi="Arial" w:cs="Arial"/>
          <w:i/>
          <w:iCs/>
          <w:sz w:val="22"/>
          <w:szCs w:val="22"/>
          <w:u w:val="single"/>
        </w:rPr>
        <w:t>t</w:t>
      </w:r>
      <w:r>
        <w:rPr>
          <w:rFonts w:hint="default" w:ascii="Arial" w:hAnsi="Arial" w:cs="Arial"/>
          <w:i/>
          <w:iCs/>
          <w:sz w:val="22"/>
          <w:szCs w:val="22"/>
          <w:u w:val="single"/>
          <w:lang w:val="ro-RO"/>
        </w:rPr>
        <w:t>ăț</w:t>
      </w:r>
      <w:r>
        <w:rPr>
          <w:rFonts w:hint="default" w:ascii="Arial" w:hAnsi="Arial" w:cs="Arial"/>
          <w:i/>
          <w:iCs/>
          <w:sz w:val="22"/>
          <w:szCs w:val="22"/>
          <w:u w:val="single"/>
        </w:rPr>
        <w:t>ii</w:t>
      </w:r>
    </w:p>
    <w:p>
      <w:pPr>
        <w:pStyle w:val="8"/>
        <w:rPr>
          <w:rFonts w:hint="default" w:ascii="Arial" w:hAnsi="Arial" w:cs="Arial"/>
          <w:sz w:val="22"/>
          <w:szCs w:val="22"/>
        </w:rPr>
      </w:pPr>
    </w:p>
    <w:p>
      <w:r>
        <w:rPr>
          <w:rFonts w:ascii="Calibri" w:hAnsi="Calibri" w:cs="Calibri"/>
        </w:rPr>
        <w:tab/>
      </w:r>
      <w:r>
        <w:rPr>
          <w:rFonts w:ascii="Calibri" w:hAnsi="Calibri" w:cs="Calibri"/>
        </w:rPr>
        <w:tab/>
      </w:r>
      <w:r>
        <w:rPr>
          <w:rFonts w:ascii="Calibri" w:hAnsi="Calibri" w:cs="Calibri"/>
        </w:rPr>
        <w:tab/>
      </w:r>
    </w:p>
    <w:sectPr>
      <w:headerReference r:id="rId4" w:type="first"/>
      <w:footerReference r:id="rId7" w:type="first"/>
      <w:headerReference r:id="rId3" w:type="default"/>
      <w:footerReference r:id="rId5" w:type="default"/>
      <w:footerReference r:id="rId6" w:type="even"/>
      <w:pgSz w:w="12240" w:h="15840"/>
      <w:pgMar w:top="1417" w:right="850" w:bottom="1417" w:left="1134" w:header="720" w:footer="720" w:gutter="0"/>
      <w:cols w:space="720" w:num="1"/>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3240"/>
      </w:tabs>
    </w:pPr>
  </w:p>
  <w:p>
    <w:pPr>
      <w:pStyle w:val="3"/>
      <w:tabs>
        <w:tab w:val="left" w:pos="7210"/>
      </w:tabs>
    </w:pPr>
    <w:r>
      <w:tab/>
    </w:r>
    <w:r>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1590675" cy="981710"/>
          <wp:effectExtent l="0" t="0" r="9525"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675" cy="981710"/>
                  </a:xfrm>
                  <a:prstGeom prst="rect">
                    <a:avLst/>
                  </a:prstGeom>
                  <a:solidFill>
                    <a:srgbClr val="FFFFFF"/>
                  </a:solidFill>
                  <a:ln>
                    <a:noFill/>
                  </a:ln>
                </pic:spPr>
              </pic:pic>
            </a:graphicData>
          </a:graphic>
        </wp:anchor>
      </w:drawing>
    </w:r>
    <w:r>
      <w:drawing>
        <wp:anchor distT="0" distB="0" distL="0" distR="0" simplePos="0" relativeHeight="251660288" behindDoc="0" locked="0" layoutInCell="1" allowOverlap="1">
          <wp:simplePos x="0" y="0"/>
          <wp:positionH relativeFrom="column">
            <wp:posOffset>4711700</wp:posOffset>
          </wp:positionH>
          <wp:positionV relativeFrom="paragraph">
            <wp:posOffset>161925</wp:posOffset>
          </wp:positionV>
          <wp:extent cx="1148080" cy="796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
                    <a:extLst>
                      <a:ext uri="{28A0092B-C50C-407E-A947-70E740481C1C}">
                        <a14:useLocalDpi xmlns:a14="http://schemas.microsoft.com/office/drawing/2010/main" val="0"/>
                      </a:ext>
                    </a:extLst>
                  </a:blip>
                  <a:srcRect r="28105" b="15231"/>
                  <a:stretch>
                    <a:fillRect/>
                  </a:stretch>
                </pic:blipFill>
                <pic:spPr>
                  <a:xfrm>
                    <a:off x="0" y="0"/>
                    <a:ext cx="1148080" cy="796290"/>
                  </a:xfrm>
                  <a:prstGeom prst="rect">
                    <a:avLst/>
                  </a:prstGeom>
                  <a:solidFill>
                    <a:srgbClr val="FFFFFF"/>
                  </a:solidFill>
                  <a:ln>
                    <a:noFill/>
                  </a:ln>
                </pic:spPr>
              </pic:pic>
            </a:graphicData>
          </a:graphic>
        </wp:anchor>
      </w:drawing>
    </w:r>
  </w:p>
  <w:p>
    <w:pPr>
      <w:pStyle w:val="3"/>
    </w:pPr>
    <w:r>
      <w:drawing>
        <wp:anchor distT="0" distB="0" distL="114300" distR="114300" simplePos="0" relativeHeight="251661312" behindDoc="0" locked="0" layoutInCell="1" allowOverlap="1">
          <wp:simplePos x="0" y="0"/>
          <wp:positionH relativeFrom="margin">
            <wp:posOffset>2025650</wp:posOffset>
          </wp:positionH>
          <wp:positionV relativeFrom="paragraph">
            <wp:posOffset>42545</wp:posOffset>
          </wp:positionV>
          <wp:extent cx="2165350" cy="37973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2165350" cy="379730"/>
                  </a:xfrm>
                  <a:prstGeom prst="rect">
                    <a:avLst/>
                  </a:prstGeom>
                  <a:solidFill>
                    <a:srgbClr val="FFFFFF"/>
                  </a:solidFill>
                  <a:ln>
                    <a:noFill/>
                  </a:ln>
                </pic:spPr>
              </pic:pic>
            </a:graphicData>
          </a:graphic>
        </wp:anchor>
      </w:drawing>
    </w:r>
  </w:p>
  <w:p>
    <w:pPr>
      <w:pStyle w:val="3"/>
    </w:pPr>
  </w:p>
  <w:p>
    <w:pPr>
      <w:pStyle w:val="3"/>
    </w:pPr>
  </w:p>
  <w:p>
    <w:pPr>
      <w:pStyle w:val="3"/>
    </w:pPr>
  </w:p>
  <w:p>
    <w:pPr>
      <w:pStyle w:val="3"/>
      <w:ind w:firstLine="3740"/>
    </w:pPr>
    <w:r>
      <w:t xml:space="preserve"> Website: wellborn.ro </w:t>
    </w:r>
  </w:p>
  <w:p>
    <w:pPr>
      <w:pStyle w:val="3"/>
      <w:ind w:firstLine="3740"/>
    </w:pPr>
  </w:p>
  <w:p>
    <w:pPr>
      <w:pStyle w:val="3"/>
      <w:ind w:firstLine="3740"/>
    </w:pPr>
  </w:p>
  <w:p>
    <w:pPr>
      <w:pStyle w:val="3"/>
      <w:tabs>
        <w:tab w:val="center" w:pos="3240"/>
      </w:tabs>
    </w:pPr>
    <w:r>
      <w:rPr>
        <w:lang w:val="en-US"/>
      </w:rPr>
      <w:t xml:space="preserve">Telefon: 031.9105/ 0314058585         </w:t>
    </w:r>
    <w:r>
      <w:t xml:space="preserve">   </w:t>
    </w:r>
    <w:r>
      <w:rPr>
        <w:lang w:val="en-US"/>
      </w:rPr>
      <w:t xml:space="preserve"> E-mail: </w:t>
    </w:r>
    <w:r>
      <w:fldChar w:fldCharType="begin"/>
    </w:r>
    <w:r>
      <w:instrText xml:space="preserve"> HYPERLINK "mailto:office@wellborn.ro"</w:instrText>
    </w:r>
    <w:r>
      <w:fldChar w:fldCharType="separate"/>
    </w:r>
    <w:r>
      <w:rPr>
        <w:rStyle w:val="5"/>
        <w:lang w:val="en-US"/>
      </w:rPr>
      <w:t>office@wellborn.ro</w:t>
    </w:r>
    <w:r>
      <w:fldChar w:fldCharType="end"/>
    </w:r>
    <w:r>
      <w:rPr>
        <w:lang w:val="en-US"/>
      </w:rPr>
      <w:t xml:space="preserve">      </w:t>
    </w:r>
    <w:r>
      <w:t xml:space="preserve">  </w:t>
    </w:r>
    <w:r>
      <w:rPr>
        <w:lang w:val="en-US"/>
      </w:rPr>
      <w:t xml:space="preserve"> </w:t>
    </w:r>
    <w:r>
      <w:t>Adresa: Strada Brodina, nr. 3, Bucuresti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1E"/>
    <w:rsid w:val="0036272B"/>
    <w:rsid w:val="0040450B"/>
    <w:rsid w:val="005F661E"/>
    <w:rsid w:val="00BC028B"/>
    <w:rsid w:val="00BD7A5F"/>
    <w:rsid w:val="00C95154"/>
    <w:rsid w:val="09502221"/>
    <w:rsid w:val="0E086893"/>
    <w:rsid w:val="0E123E40"/>
    <w:rsid w:val="196D105A"/>
    <w:rsid w:val="44A30000"/>
    <w:rsid w:val="4FEA3036"/>
    <w:rsid w:val="58694B98"/>
    <w:rsid w:val="63EB0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2" w:lineRule="auto"/>
    </w:pPr>
    <w:rPr>
      <w:rFonts w:ascii="Times New Roman" w:hAnsi="Times New Roman" w:eastAsia="Times New Roman" w:cs="Times New Roman"/>
      <w:sz w:val="20"/>
      <w:szCs w:val="20"/>
      <w:lang w:val="en-US"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536"/>
        <w:tab w:val="right" w:pos="9072"/>
      </w:tabs>
      <w:spacing w:after="0" w:line="240" w:lineRule="auto"/>
    </w:pPr>
  </w:style>
  <w:style w:type="paragraph" w:styleId="3">
    <w:name w:val="header"/>
    <w:basedOn w:val="1"/>
    <w:link w:val="7"/>
    <w:uiPriority w:val="0"/>
    <w:pPr>
      <w:spacing w:after="0" w:line="240" w:lineRule="auto"/>
    </w:pPr>
  </w:style>
  <w:style w:type="character" w:styleId="5">
    <w:name w:val="Hyperlink"/>
    <w:basedOn w:val="4"/>
    <w:uiPriority w:val="0"/>
  </w:style>
  <w:style w:type="character" w:customStyle="1" w:styleId="7">
    <w:name w:val="Header Char"/>
    <w:basedOn w:val="4"/>
    <w:link w:val="3"/>
    <w:uiPriority w:val="0"/>
    <w:rPr>
      <w:rFonts w:ascii="Times New Roman" w:hAnsi="Times New Roman" w:eastAsia="Times New Roman" w:cs="Times New Roman"/>
      <w:sz w:val="20"/>
      <w:szCs w:val="20"/>
    </w:rPr>
  </w:style>
  <w:style w:type="paragraph" w:styleId="8">
    <w:name w:val="No Spacing"/>
    <w:qFormat/>
    <w:uiPriority w:val="1"/>
    <w:pPr>
      <w:spacing w:after="0" w:line="240" w:lineRule="auto"/>
    </w:pPr>
    <w:rPr>
      <w:rFonts w:asciiTheme="minorHAnsi" w:hAnsiTheme="minorHAnsi" w:eastAsiaTheme="minorHAnsi" w:cstheme="minorBidi"/>
      <w:sz w:val="22"/>
      <w:szCs w:val="22"/>
      <w:lang w:val="ro-RO"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102</Words>
  <Characters>584</Characters>
  <Lines>4</Lines>
  <Paragraphs>1</Paragraphs>
  <TotalTime>5</TotalTime>
  <ScaleCrop>false</ScaleCrop>
  <LinksUpToDate>false</LinksUpToDate>
  <CharactersWithSpaces>685</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2020-05-20T12:43:00Z</dcterms:created>
  <dc:creator>andreea mustata</dc:creator>
  <cp:lastModifiedBy>Roxana Sabou</cp:lastModifiedBy>
  <dcterms:modified xsi:type="dcterms:W3CDTF">2020-05-22T12:35:54Z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